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SPENCER DARIEN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350 TREAT AVENUE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94110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Ouster, Inc.</w:t>
              </w:r>
            </w:hyperlink>
            <w:r>
              <w:rPr/>
              <w:t xml:space="preserve"> [ </w:t>
            </w:r>
            <w:r>
              <w:rPr>
                <w:rFonts w:ascii="Times;serif" w:hAnsi="Times;serif"/>
                <w:color w:val="0000FF"/>
                <w:sz w:val="24"/>
                <w:shd w:fill="FFFFFF" w:val="clear"/>
              </w:rPr>
              <w:t>OUST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Operating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72"/>
        <w:gridCol w:w="910"/>
        <w:gridCol w:w="781"/>
        <w:gridCol w:w="604"/>
        <w:gridCol w:w="340"/>
        <w:gridCol w:w="956"/>
        <w:gridCol w:w="426"/>
        <w:gridCol w:w="981"/>
        <w:gridCol w:w="1250"/>
        <w:gridCol w:w="968"/>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7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4"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6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5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5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7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09/14/2026</w:t>
            </w:r>
          </w:p>
        </w:tc>
        <w:tc>
          <w:tcPr>
            <w:tcW w:w="7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12,808</w:t>
            </w:r>
            <w:r>
              <w:rPr>
                <w:rFonts w:ascii="Times;serif" w:hAnsi="Times;serif"/>
                <w:color w:val="008000"/>
                <w:position w:val="7"/>
                <w:sz w:val="16"/>
                <w:sz w:val="20"/>
                <w:shd w:fill="FFFFFF" w:val="clear"/>
              </w:rPr>
              <w:t>(1)</w:t>
            </w:r>
          </w:p>
        </w:tc>
        <w:tc>
          <w:tcPr>
            <w:tcW w:w="42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33.9595</w:t>
            </w:r>
            <w:r>
              <w:rPr>
                <w:rFonts w:ascii="Times;serif" w:hAnsi="Times;serif"/>
                <w:color w:val="008000"/>
                <w:position w:val="7"/>
                <w:sz w:val="16"/>
                <w:sz w:val="20"/>
                <w:shd w:fill="FFFFFF" w:val="clear"/>
              </w:rPr>
              <w:t>(2)</w:t>
            </w:r>
          </w:p>
        </w:tc>
        <w:tc>
          <w:tcPr>
            <w:tcW w:w="125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286,998.5</w:t>
            </w:r>
          </w:p>
        </w:tc>
        <w:tc>
          <w:tcPr>
            <w:tcW w:w="9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Reflects shares sold to cover withholding taxes incurred upon the vesting and settlement of restricted stock units pursuant to a Rule 10b5-1 sale to cover instruction letter dated August 19,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$33.688 to $33.9661.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List - Exhibit 24 -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Kenneth Gianella, as Attorney-in-Fact for Darien Spencer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right"/>
        <w:rPr>
          <w:rFonts w:ascii="sans-serif" w:hAnsi="sans-serif"/>
          <w:b/>
          <w:color w:val="000000"/>
          <w:sz w:val="24"/>
        </w:rPr>
      </w:pPr>
      <w:bookmarkStart w:id="2" w:name="oust-ex24.htm"/>
      <w:bookmarkStart w:id="3" w:name="ksoustex24"/>
      <w:bookmarkEnd w:id="2"/>
      <w:bookmarkEnd w:id="3"/>
      <w:r>
        <w:rPr>
          <w:rFonts w:ascii="sans-serif" w:hAnsi="sans-serif"/>
          <w:b/>
          <w:color w:val="000000"/>
          <w:sz w:val="24"/>
        </w:rPr>
        <w:t>Exhibit 24</w:t>
      </w:r>
      <w:r>
        <w:br w:type="page"/>
      </w:r>
    </w:p>
    <w:p>
      <w:pPr>
        <w:pStyle w:val="TextBody"/>
        <w:bidi w:val="0"/>
        <w:jc w:val="center"/>
        <w:rPr>
          <w:rFonts w:ascii="sans-serif" w:hAnsi="sans-serif"/>
          <w:b/>
          <w:color w:val="000000"/>
          <w:sz w:val="24"/>
          <w:u w:val="single"/>
        </w:rPr>
      </w:pPr>
      <w:r>
        <w:rPr>
          <w:rFonts w:ascii="sans-serif" w:hAnsi="sans-serif"/>
          <w:b/>
          <w:color w:val="000000"/>
          <w:sz w:val="24"/>
          <w:u w:val="single"/>
        </w:rPr>
        <w:t>Section 16 Power of Attorney</w:t>
      </w:r>
    </w:p>
    <w:p>
      <w:pPr>
        <w:pStyle w:val="TextBody"/>
        <w:bidi w:val="0"/>
        <w:jc w:val="center"/>
        <w:rPr>
          <w:rFonts w:ascii="sans-serif" w:hAnsi="sans-serif"/>
          <w:b/>
          <w:color w:val="000000"/>
          <w:sz w:val="22"/>
        </w:rPr>
      </w:pPr>
      <w:r>
        <w:rPr>
          <w:rFonts w:ascii="sans-serif" w:hAnsi="sans-serif"/>
          <w:b/>
          <w:color w:val="000000"/>
          <w:sz w:val="22"/>
        </w:rPr>
        <w:t>POWER OF ATTORNEY</w:t>
      </w:r>
    </w:p>
    <w:p>
      <w:pPr>
        <w:pStyle w:val="TextBody"/>
        <w:bidi w:val="0"/>
        <w:jc w:val="left"/>
        <w:rPr/>
      </w:pPr>
      <w:r>
        <w:rPr/>
        <w:t> </w:t>
      </w:r>
    </w:p>
    <w:p>
      <w:pPr>
        <w:pStyle w:val="TextBody"/>
        <w:bidi w:val="0"/>
        <w:jc w:val="both"/>
        <w:rPr>
          <w:rFonts w:ascii="sans-serif" w:hAnsi="sans-serif"/>
          <w:sz w:val="22"/>
        </w:rPr>
      </w:pPr>
      <w:r>
        <w:rPr>
          <w:rFonts w:ascii="sans-serif" w:hAnsi="sans-serif"/>
          <w:color w:val="000000"/>
          <w:sz w:val="22"/>
        </w:rPr>
        <w:t>With respect to holdings of and transactions in securities issued by Ouster, Inc. (the “</w:t>
      </w:r>
      <w:r>
        <w:rPr>
          <w:rFonts w:ascii="sans-serif" w:hAnsi="sans-serif"/>
          <w:b/>
          <w:i/>
          <w:color w:val="000000"/>
          <w:sz w:val="22"/>
        </w:rPr>
        <w:t>Company</w:t>
      </w:r>
      <w:r>
        <w:rPr>
          <w:rFonts w:ascii="sans-serif" w:hAnsi="sans-serif"/>
          <w:color w:val="000000"/>
          <w:sz w:val="22"/>
        </w:rPr>
        <w:t xml:space="preserve">”), the undersigned hereby constitutes and appoints the individuals named on </w:t>
      </w:r>
      <w:r>
        <w:rPr>
          <w:rFonts w:ascii="sans-serif" w:hAnsi="sans-serif"/>
          <w:b/>
          <w:color w:val="000000"/>
          <w:sz w:val="22"/>
          <w:u w:val="single"/>
        </w:rPr>
        <w:t>Schedule A</w:t>
      </w:r>
      <w:r>
        <w:rPr>
          <w:rFonts w:ascii="sans-serif" w:hAnsi="sans-serif"/>
          <w:color w:val="000000"/>
          <w:sz w:val="22"/>
        </w:rPr>
        <w:t xml:space="preserve"> attached hereto and as may be amended from time to time, or any of them signing singly, with full power of substitution and resubstitution, to act as the undersigned’s true and lawful attorney-in-fact to:</w:t>
      </w:r>
    </w:p>
    <w:p>
      <w:pPr>
        <w:pStyle w:val="TextBody"/>
        <w:bidi w:val="0"/>
        <w:jc w:val="both"/>
        <w:rPr/>
      </w:pPr>
      <w:r>
        <w:rPr/>
        <w:t> </w:t>
      </w:r>
    </w:p>
    <w:p>
      <w:pPr>
        <w:pStyle w:val="TextBody"/>
        <w:bidi w:val="0"/>
        <w:spacing w:before="0" w:after="0"/>
        <w:jc w:val="both"/>
        <w:rPr>
          <w:rFonts w:ascii="sans-serif" w:hAnsi="sans-serif"/>
          <w:color w:val="000000"/>
          <w:sz w:val="22"/>
        </w:rPr>
      </w:pPr>
      <w:r>
        <w:rPr>
          <w:rFonts w:ascii="sans-serif" w:hAnsi="sans-serif"/>
          <w:color w:val="000000"/>
          <w:sz w:val="22"/>
        </w:rPr>
        <w:t>1.</w:t>
      </w:r>
    </w:p>
    <w:p>
      <w:pPr>
        <w:pStyle w:val="TextBody"/>
        <w:bidi w:val="0"/>
        <w:jc w:val="both"/>
        <w:rPr>
          <w:rFonts w:ascii="sans-serif" w:hAnsi="sans-serif"/>
          <w:sz w:val="22"/>
        </w:rPr>
      </w:pPr>
      <w:r>
        <w:rPr>
          <w:rFonts w:ascii="sans-serif" w:hAnsi="sans-serif"/>
          <w:color w:val="000000"/>
          <w:sz w:val="22"/>
        </w:rPr>
        <w:t>execute for and on behalf of the undersigned, Schedules 13D and 13G in accordance with Section 13 of the Securities Exchange Act of 1934, as amended (the “</w:t>
      </w:r>
      <w:r>
        <w:rPr>
          <w:rFonts w:ascii="sans-serif" w:hAnsi="sans-serif"/>
          <w:b/>
          <w:i/>
          <w:color w:val="000000"/>
          <w:sz w:val="22"/>
        </w:rPr>
        <w:t>Exchange Act</w:t>
      </w:r>
      <w:r>
        <w:rPr>
          <w:rFonts w:ascii="sans-serif" w:hAnsi="sans-serif"/>
          <w:color w:val="000000"/>
          <w:sz w:val="22"/>
        </w:rPr>
        <w:t>”), and the rules thereunder, and Forms 3, 4, and 5 in accordance with Section 16 of the Exchange Act and the rules thereunder, and Notices of Proposed Sale of Securities Pursuant to Rule 144 (“</w:t>
      </w:r>
      <w:r>
        <w:rPr>
          <w:rFonts w:ascii="sans-serif" w:hAnsi="sans-serif"/>
          <w:b/>
          <w:i/>
          <w:color w:val="000000"/>
          <w:sz w:val="22"/>
        </w:rPr>
        <w:t>Form 144”</w:t>
      </w:r>
      <w:r>
        <w:rPr>
          <w:rFonts w:ascii="sans-serif" w:hAnsi="sans-serif"/>
          <w:color w:val="000000"/>
          <w:sz w:val="22"/>
        </w:rPr>
        <w:t>), in accordance with the requirements of Rule 144 under the Securities Act of 1933, as amended (the “</w:t>
      </w:r>
      <w:r>
        <w:rPr>
          <w:rFonts w:ascii="sans-serif" w:hAnsi="sans-serif"/>
          <w:b/>
          <w:i/>
          <w:color w:val="000000"/>
          <w:sz w:val="22"/>
        </w:rPr>
        <w:t>Securities Act</w:t>
      </w:r>
      <w:r>
        <w:rPr>
          <w:rFonts w:ascii="sans-serif" w:hAnsi="sans-serif"/>
          <w:color w:val="000000"/>
          <w:sz w:val="22"/>
        </w:rPr>
        <w:t>”); and</w:t>
      </w:r>
    </w:p>
    <w:p>
      <w:pPr>
        <w:pStyle w:val="TextBody"/>
        <w:bidi w:val="0"/>
        <w:jc w:val="both"/>
        <w:rPr/>
      </w:pPr>
      <w:r>
        <w:rPr/>
        <w:t> </w:t>
      </w:r>
    </w:p>
    <w:p>
      <w:pPr>
        <w:pStyle w:val="TextBody"/>
        <w:bidi w:val="0"/>
        <w:spacing w:before="0" w:after="0"/>
        <w:jc w:val="both"/>
        <w:rPr>
          <w:rFonts w:ascii="sans-serif" w:hAnsi="sans-serif"/>
          <w:color w:val="000000"/>
          <w:sz w:val="22"/>
        </w:rPr>
      </w:pPr>
      <w:r>
        <w:rPr>
          <w:rFonts w:ascii="sans-serif" w:hAnsi="sans-serif"/>
          <w:color w:val="000000"/>
          <w:sz w:val="22"/>
        </w:rPr>
        <w:t>2.</w:t>
      </w:r>
    </w:p>
    <w:p>
      <w:pPr>
        <w:pStyle w:val="TextBody"/>
        <w:bidi w:val="0"/>
        <w:jc w:val="both"/>
        <w:rPr>
          <w:rFonts w:ascii="sans-serif" w:hAnsi="sans-serif"/>
          <w:color w:val="000000"/>
          <w:sz w:val="22"/>
        </w:rPr>
      </w:pPr>
      <w:r>
        <w:rPr>
          <w:rFonts w:ascii="sans-serif" w:hAnsi="sans-serif"/>
          <w:color w:val="000000"/>
          <w:sz w:val="22"/>
        </w:rPr>
        <w:t>do and perform any and all acts for and on behalf of the undersigned which may be necessary or desirable to complete and execute any such Schedule 13D, Schedule 13G, Form 3, Form 4, Form 5, and Form 144, complete and execute any amendment or amendments thereto, and to timely file such Schedule 13D, Schedule 13G, Form 3, Form 4, Form 5, and Form 144, as applicable, and any amendment thereto, with the United States Securities and Exchange Commission and any stock exchange or similar authority.</w:t>
      </w:r>
    </w:p>
    <w:p>
      <w:pPr>
        <w:pStyle w:val="TextBody"/>
        <w:bidi w:val="0"/>
        <w:jc w:val="both"/>
        <w:rPr/>
      </w:pPr>
      <w:r>
        <w:rPr/>
        <w:t> </w:t>
      </w:r>
    </w:p>
    <w:p>
      <w:pPr>
        <w:pStyle w:val="TextBody"/>
        <w:bidi w:val="0"/>
        <w:jc w:val="both"/>
        <w:rPr>
          <w:rFonts w:ascii="sans-serif" w:hAnsi="sans-serif"/>
          <w:color w:val="000000"/>
          <w:sz w:val="22"/>
        </w:rPr>
      </w:pPr>
      <w:r>
        <w:rPr>
          <w:rFonts w:ascii="sans-serif" w:hAnsi="sans-serif"/>
          <w:color w:val="000000"/>
          <w:sz w:val="22"/>
        </w:rPr>
        <w:t xml:space="preserve">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 </w:t>
      </w:r>
    </w:p>
    <w:p>
      <w:pPr>
        <w:pStyle w:val="TextBody"/>
        <w:bidi w:val="0"/>
        <w:jc w:val="both"/>
        <w:rPr/>
      </w:pPr>
      <w:r>
        <w:rPr/>
        <w:t> </w:t>
      </w:r>
    </w:p>
    <w:p>
      <w:pPr>
        <w:pStyle w:val="TextBody"/>
        <w:bidi w:val="0"/>
        <w:jc w:val="both"/>
        <w:rPr>
          <w:rFonts w:ascii="sans-serif" w:hAnsi="sans-serif"/>
          <w:color w:val="000000"/>
          <w:sz w:val="22"/>
        </w:rPr>
      </w:pPr>
      <w:r>
        <w:rPr>
          <w:rFonts w:ascii="sans-serif" w:hAnsi="sans-serif"/>
          <w:color w:val="000000"/>
          <w:sz w:val="22"/>
        </w:rPr>
        <w:t xml:space="preserve">The undersigned acknowledges that the foregoing attorneys-in-fact, in serving in such capacity at the request of the undersigned, are not assuming, nor is the Company assuming, any of the undersigned’s responsibilities to comply with Section 13 and Section 16 of the Exchange Act, or Rule 144 under the Securities Act. </w:t>
      </w:r>
    </w:p>
    <w:p>
      <w:pPr>
        <w:pStyle w:val="TextBody"/>
        <w:bidi w:val="0"/>
        <w:jc w:val="both"/>
        <w:rPr/>
      </w:pPr>
      <w:r>
        <w:rPr/>
        <w:t> </w:t>
      </w:r>
    </w:p>
    <w:p>
      <w:pPr>
        <w:pStyle w:val="TextBody"/>
        <w:bidi w:val="0"/>
        <w:jc w:val="both"/>
        <w:rPr>
          <w:rFonts w:ascii="sans-serif" w:hAnsi="sans-serif"/>
          <w:color w:val="000000"/>
          <w:sz w:val="22"/>
        </w:rPr>
      </w:pPr>
      <w:r>
        <w:rPr>
          <w:rFonts w:ascii="sans-serif" w:hAnsi="sans-serif"/>
          <w:color w:val="000000"/>
          <w:sz w:val="22"/>
        </w:rPr>
        <w:t xml:space="preserve">This Power of Attorney shall remain in full force and effect until the undersigned is no longer required to file any Schedule 13D, Schedule 13G, Form 3, Form 4, Form 5, and Form 144 with respect to the undersigned’s holdings of and transactions in securities issued by the Company, unless earlier revoked by the undersigned in a signed writing delivered to the foregoing attorneys-in-fact. </w:t>
      </w:r>
    </w:p>
    <w:p>
      <w:pPr>
        <w:pStyle w:val="TextBody"/>
        <w:bidi w:val="0"/>
        <w:jc w:val="both"/>
        <w:rPr/>
      </w:pPr>
      <w:r>
        <w:rPr/>
        <w:t> </w:t>
      </w:r>
    </w:p>
    <w:p>
      <w:pPr>
        <w:pStyle w:val="TextBody"/>
        <w:bidi w:val="0"/>
        <w:jc w:val="both"/>
        <w:rPr>
          <w:rFonts w:ascii="sans-serif" w:hAnsi="sans-serif"/>
          <w:color w:val="000000"/>
          <w:sz w:val="22"/>
        </w:rPr>
      </w:pPr>
      <w:r>
        <w:rPr>
          <w:rFonts w:ascii="sans-serif" w:hAnsi="sans-serif"/>
          <w:color w:val="000000"/>
          <w:sz w:val="22"/>
        </w:rPr>
        <w:t>IN WITNESS WHEREOF, the undersigned has caused this Power of Attorney to be executed as of this 11 day of March, 2025.</w:t>
      </w:r>
    </w:p>
    <w:p>
      <w:pPr>
        <w:pStyle w:val="TextBody"/>
        <w:bidi w:val="0"/>
        <w:jc w:val="both"/>
        <w:rPr/>
      </w:pPr>
      <w:r>
        <w:rPr/>
        <w:t> </w:t>
      </w:r>
    </w:p>
    <w:p>
      <w:pPr>
        <w:pStyle w:val="TextBody"/>
        <w:bidi w:val="0"/>
        <w:jc w:val="both"/>
        <w:rPr/>
      </w:pPr>
      <w:r>
        <w:rPr/>
        <w:t> </w:t>
      </w:r>
    </w:p>
    <w:tbl>
      <w:tblPr>
        <w:tblW w:w="2168" w:type="dxa"/>
        <w:jc w:val="left"/>
        <w:tblInd w:w="0" w:type="dxa"/>
        <w:tblLayout w:type="fixed"/>
        <w:tblCellMar>
          <w:top w:w="28" w:type="dxa"/>
          <w:left w:w="28" w:type="dxa"/>
          <w:bottom w:w="28" w:type="dxa"/>
          <w:right w:w="28" w:type="dxa"/>
        </w:tblCellMar>
      </w:tblPr>
      <w:tblGrid>
        <w:gridCol w:w="161"/>
        <w:gridCol w:w="18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8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816" w:type="dxa"/>
            <w:tcBorders/>
            <w:tcMar>
              <w:top w:w="0" w:type="dxa"/>
              <w:left w:w="0" w:type="dxa"/>
              <w:bottom w:w="0" w:type="dxa"/>
              <w:right w:w="0" w:type="dxa"/>
            </w:tcMar>
            <w:vAlign w:val="center"/>
          </w:tcPr>
          <w:p>
            <w:pPr>
              <w:pStyle w:val="TableContents"/>
              <w:pBdr>
                <w:bottom w:val="single" w:sz="6" w:space="1" w:color="000000"/>
              </w:pBdr>
              <w:bidi w:val="0"/>
              <w:spacing w:before="0" w:after="283"/>
              <w:jc w:val="left"/>
              <w:rPr>
                <w:rFonts w:ascii="Times New Roman" w:hAnsi="Times New Roman"/>
                <w:color w:val="000000"/>
                <w:sz w:val="22"/>
              </w:rPr>
            </w:pPr>
            <w:r>
              <w:rPr>
                <w:rFonts w:ascii="Times New Roman" w:hAnsi="Times New Roman"/>
                <w:color w:val="000000"/>
                <w:sz w:val="22"/>
              </w:rPr>
              <w:t>/s/ Darien Spencer</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8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Darien Spencer</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sans-serif" w:hAnsi="sans-serif"/>
          <w:color w:val="000000"/>
          <w:sz w:val="22"/>
          <w:u w:val="single"/>
        </w:rPr>
      </w:pPr>
      <w:r>
        <w:rPr>
          <w:rFonts w:ascii="sans-serif" w:hAnsi="sans-serif"/>
          <w:color w:val="000000"/>
          <w:sz w:val="22"/>
          <w:u w:val="single"/>
        </w:rPr>
        <w:t>Schedule A</w:t>
      </w:r>
    </w:p>
    <w:p>
      <w:pPr>
        <w:pStyle w:val="TextBody"/>
        <w:bidi w:val="0"/>
        <w:jc w:val="center"/>
        <w:rPr/>
      </w:pPr>
      <w:r>
        <w:rPr/>
        <w:t> </w:t>
      </w:r>
    </w:p>
    <w:p>
      <w:pPr>
        <w:pStyle w:val="TextBody"/>
        <w:bidi w:val="0"/>
        <w:jc w:val="center"/>
        <w:rPr>
          <w:rFonts w:ascii="sans-serif" w:hAnsi="sans-serif"/>
          <w:b/>
          <w:color w:val="000000"/>
          <w:sz w:val="22"/>
        </w:rPr>
      </w:pPr>
      <w:r>
        <w:rPr>
          <w:rFonts w:ascii="sans-serif" w:hAnsi="sans-serif"/>
          <w:b/>
          <w:color w:val="000000"/>
          <w:sz w:val="22"/>
        </w:rPr>
        <w:t>INDIVIDUALS APPOINTED AS ATTORNEY-IN-FACT,</w:t>
      </w:r>
    </w:p>
    <w:p>
      <w:pPr>
        <w:pStyle w:val="TextBody"/>
        <w:bidi w:val="0"/>
        <w:jc w:val="center"/>
        <w:rPr>
          <w:rFonts w:ascii="sans-serif" w:hAnsi="sans-serif"/>
          <w:b/>
          <w:color w:val="000000"/>
          <w:sz w:val="22"/>
        </w:rPr>
      </w:pPr>
      <w:r>
        <w:rPr>
          <w:rFonts w:ascii="sans-serif" w:hAnsi="sans-serif"/>
          <w:b/>
          <w:color w:val="000000"/>
          <w:sz w:val="22"/>
        </w:rPr>
        <w:t>WITH FULL POWER OF SUBSTITUTION AND RESUBSTITUTION</w:t>
      </w:r>
    </w:p>
    <w:p>
      <w:pPr>
        <w:pStyle w:val="TextBody"/>
        <w:bidi w:val="0"/>
        <w:jc w:val="center"/>
        <w:rPr/>
      </w:pPr>
      <w:r>
        <w:rPr/>
        <w:t> </w:t>
      </w:r>
    </w:p>
    <w:p>
      <w:pPr>
        <w:pStyle w:val="TextBody"/>
        <w:bidi w:val="0"/>
        <w:jc w:val="center"/>
        <w:rPr/>
      </w:pPr>
      <w:r>
        <w:rPr/>
        <w:t> </w:t>
      </w:r>
    </w:p>
    <w:p>
      <w:pPr>
        <w:pStyle w:val="TextBody"/>
        <w:bidi w:val="0"/>
        <w:spacing w:before="0" w:after="0"/>
        <w:jc w:val="left"/>
        <w:rPr>
          <w:rFonts w:ascii="sans-serif" w:hAnsi="sans-serif"/>
          <w:color w:val="000000"/>
          <w:sz w:val="20"/>
        </w:rPr>
      </w:pPr>
      <w:r>
        <w:rPr>
          <w:rFonts w:ascii="sans-serif" w:hAnsi="sans-serif"/>
          <w:color w:val="000000"/>
          <w:sz w:val="20"/>
        </w:rPr>
        <w:t>1.</w:t>
      </w:r>
    </w:p>
    <w:p>
      <w:pPr>
        <w:pStyle w:val="TextBody"/>
        <w:bidi w:val="0"/>
        <w:spacing w:before="0" w:after="0"/>
        <w:jc w:val="left"/>
        <w:rPr>
          <w:rFonts w:ascii="sans-serif" w:hAnsi="sans-serif"/>
          <w:color w:val="000000"/>
          <w:sz w:val="20"/>
        </w:rPr>
      </w:pPr>
      <w:r>
        <w:rPr>
          <w:rFonts w:ascii="sans-serif" w:hAnsi="sans-serif"/>
          <w:color w:val="000000"/>
          <w:sz w:val="20"/>
        </w:rPr>
        <w:t>Megan Chung, General Counsel and Secretary</w:t>
      </w:r>
    </w:p>
    <w:p>
      <w:pPr>
        <w:pStyle w:val="TextBody"/>
        <w:bidi w:val="0"/>
        <w:spacing w:before="0" w:after="0"/>
        <w:jc w:val="left"/>
        <w:rPr>
          <w:rFonts w:ascii="sans-serif" w:hAnsi="sans-serif"/>
          <w:color w:val="000000"/>
          <w:sz w:val="20"/>
        </w:rPr>
      </w:pPr>
      <w:r>
        <w:rPr>
          <w:rFonts w:ascii="sans-serif" w:hAnsi="sans-serif"/>
          <w:color w:val="000000"/>
          <w:sz w:val="20"/>
        </w:rPr>
        <w:t>2.</w:t>
      </w:r>
    </w:p>
    <w:p>
      <w:pPr>
        <w:pStyle w:val="TextBody"/>
        <w:bidi w:val="0"/>
        <w:spacing w:before="0" w:after="0"/>
        <w:jc w:val="left"/>
        <w:rPr>
          <w:rFonts w:ascii="sans-serif" w:hAnsi="sans-serif"/>
          <w:color w:val="000000"/>
          <w:sz w:val="20"/>
        </w:rPr>
      </w:pPr>
      <w:r>
        <w:rPr>
          <w:rFonts w:ascii="sans-serif" w:hAnsi="sans-serif"/>
          <w:color w:val="000000"/>
          <w:sz w:val="20"/>
        </w:rPr>
        <w:t>Gayle McKenzie, Deputy General Counsel</w:t>
      </w:r>
    </w:p>
    <w:p>
      <w:pPr>
        <w:pStyle w:val="TextBody"/>
        <w:bidi w:val="0"/>
        <w:spacing w:before="0" w:after="0"/>
        <w:jc w:val="left"/>
        <w:rPr>
          <w:rFonts w:ascii="sans-serif" w:hAnsi="sans-serif"/>
          <w:color w:val="000000"/>
          <w:sz w:val="20"/>
        </w:rPr>
      </w:pPr>
      <w:r>
        <w:rPr>
          <w:rFonts w:ascii="sans-serif" w:hAnsi="sans-serif"/>
          <w:color w:val="000000"/>
          <w:sz w:val="20"/>
        </w:rPr>
        <w:t>3.</w:t>
      </w:r>
    </w:p>
    <w:p>
      <w:pPr>
        <w:pStyle w:val="TextBody"/>
        <w:bidi w:val="0"/>
        <w:spacing w:before="0" w:after="0"/>
        <w:jc w:val="left"/>
        <w:rPr>
          <w:rFonts w:ascii="sans-serif" w:hAnsi="sans-serif"/>
          <w:color w:val="000000"/>
          <w:sz w:val="20"/>
        </w:rPr>
      </w:pPr>
      <w:r>
        <w:rPr>
          <w:rFonts w:ascii="sans-serif" w:hAnsi="sans-serif"/>
          <w:color w:val="000000"/>
          <w:sz w:val="20"/>
        </w:rPr>
        <w:t>Kenneth P. Gianella, Chief Financial Officer</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sans-serif">
    <w:altName w:val="Arial"/>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226378" TargetMode="External"/><Relationship Id="rId5" Type="http://schemas.openxmlformats.org/officeDocument/2006/relationships/hyperlink" Target="http://www.sec.gov/cgi-bin/browse-edgar?action=getcompany&amp;CIK=000181658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1200</Words>
  <Characters>6342</Characters>
  <CharactersWithSpaces>7470</CharactersWithSpaces>
  <Paragraphs>139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