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Jacquemet Cyrille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69"/>
        <w:gridCol w:w="432"/>
        <w:gridCol w:w="982"/>
        <w:gridCol w:w="1259"/>
        <w:gridCol w:w="97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8,896</w:t>
            </w:r>
            <w:r>
              <w:rPr>
                <w:rFonts w:ascii="Times;serif" w:hAnsi="Times;serif"/>
                <w:color w:val="008000"/>
                <w:position w:val="7"/>
                <w:sz w:val="16"/>
                <w:sz w:val="20"/>
                <w:shd w:fill="FFFFFF" w:val="clear"/>
              </w:rPr>
              <w:t>(1)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33.9583</w:t>
            </w:r>
            <w:r>
              <w:rPr>
                <w:rFonts w:ascii="Times;serif" w:hAnsi="Times;serif"/>
                <w:color w:val="008000"/>
                <w:position w:val="7"/>
                <w:sz w:val="16"/>
                <w:sz w:val="20"/>
                <w:shd w:fill="FFFFFF" w:val="clear"/>
              </w:rPr>
              <w:t>(2)</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105,538.5</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$33.67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P. Gianella, as Attorney-in-Fact for Cyrille Jacquemet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sans-serif" w:hAnsi="sans-serif"/>
          <w:b/>
          <w:color w:val="000000"/>
          <w:sz w:val="22"/>
        </w:rPr>
      </w:pPr>
      <w:bookmarkStart w:id="2" w:name="oust-ex24.htm"/>
      <w:bookmarkStart w:id="3" w:name="ksoustex24"/>
      <w:bookmarkEnd w:id="2"/>
      <w:bookmarkEnd w:id="3"/>
      <w:r>
        <w:rPr>
          <w:rFonts w:ascii="sans-serif" w:hAnsi="sans-serif"/>
          <w:b/>
          <w:color w:val="000000"/>
          <w:sz w:val="22"/>
        </w:rPr>
        <w:t>Exhibit 24</w:t>
      </w:r>
      <w:r>
        <w:br w:type="page"/>
      </w:r>
    </w:p>
    <w:p>
      <w:pPr>
        <w:pStyle w:val="TextBody"/>
        <w:bidi w:val="0"/>
        <w:jc w:val="center"/>
        <w:rPr>
          <w:rFonts w:ascii="sans-serif" w:hAnsi="sans-serif"/>
          <w:b/>
          <w:color w:val="000000"/>
          <w:sz w:val="24"/>
          <w:u w:val="single"/>
        </w:rPr>
      </w:pPr>
      <w:r>
        <w:rPr>
          <w:rFonts w:ascii="sans-serif" w:hAnsi="sans-serif"/>
          <w:b/>
          <w:color w:val="000000"/>
          <w:sz w:val="24"/>
          <w:u w:val="single"/>
        </w:rPr>
        <w:t>Section 16 Power of Attorney</w:t>
      </w:r>
    </w:p>
    <w:p>
      <w:pPr>
        <w:pStyle w:val="TextBody"/>
        <w:bidi w:val="0"/>
        <w:jc w:val="center"/>
        <w:rPr>
          <w:rFonts w:ascii="sans-serif" w:hAnsi="sans-serif"/>
          <w:b/>
          <w:color w:val="000000"/>
          <w:sz w:val="22"/>
        </w:rPr>
      </w:pPr>
      <w:r>
        <w:rPr>
          <w:rFonts w:ascii="sans-serif" w:hAnsi="sans-serif"/>
          <w:b/>
          <w:color w:val="000000"/>
          <w:sz w:val="22"/>
        </w:rPr>
        <w:t>POWER OF ATTORNEY</w:t>
      </w:r>
    </w:p>
    <w:p>
      <w:pPr>
        <w:pStyle w:val="TextBody"/>
        <w:bidi w:val="0"/>
        <w:jc w:val="left"/>
        <w:rPr/>
      </w:pPr>
      <w:r>
        <w:rPr/>
        <w:t> </w:t>
      </w:r>
    </w:p>
    <w:p>
      <w:pPr>
        <w:pStyle w:val="TextBody"/>
        <w:bidi w:val="0"/>
        <w:jc w:val="both"/>
        <w:rPr>
          <w:rFonts w:ascii="sans-serif" w:hAnsi="sans-serif"/>
          <w:sz w:val="22"/>
        </w:rPr>
      </w:pPr>
      <w:r>
        <w:rPr>
          <w:rFonts w:ascii="sans-serif" w:hAnsi="sans-serif"/>
          <w:color w:val="000000"/>
          <w:sz w:val="22"/>
        </w:rPr>
        <w:t>With respect to holdings of and transactions in securities issued by Ouster, Inc. (the “</w:t>
      </w:r>
      <w:r>
        <w:rPr>
          <w:rFonts w:ascii="sans-serif" w:hAnsi="sans-serif"/>
          <w:b/>
          <w:i/>
          <w:color w:val="000000"/>
          <w:sz w:val="22"/>
        </w:rPr>
        <w:t>Company</w:t>
      </w:r>
      <w:r>
        <w:rPr>
          <w:rFonts w:ascii="sans-serif" w:hAnsi="sans-serif"/>
          <w:color w:val="000000"/>
          <w:sz w:val="22"/>
        </w:rPr>
        <w:t xml:space="preserve">”), the undersigned hereby constitutes and appoints the individuals named on </w:t>
      </w:r>
      <w:r>
        <w:rPr>
          <w:rFonts w:ascii="sans-serif" w:hAnsi="sans-serif"/>
          <w:b/>
          <w:color w:val="000000"/>
          <w:sz w:val="22"/>
          <w:u w:val="single"/>
        </w:rPr>
        <w:t>Schedule A</w:t>
      </w:r>
      <w:r>
        <w:rPr>
          <w:rFonts w:ascii="sans-serif" w:hAnsi="sans-serif"/>
          <w:color w:val="000000"/>
          <w:sz w:val="22"/>
        </w:rPr>
        <w:t xml:space="preserve"> 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sz w:val="22"/>
        </w:rPr>
      </w:pPr>
      <w:r>
        <w:rPr>
          <w:rFonts w:ascii="sans-serif" w:hAnsi="sans-serif"/>
          <w:color w:val="000000"/>
          <w:sz w:val="22"/>
        </w:rPr>
        <w:t>execute for and on behalf of the undersigned, Schedules 13D and 13G in accordance with Section 13 of the Securities Exchange Act of 1934, as amended (the “</w:t>
      </w:r>
      <w:r>
        <w:rPr>
          <w:rFonts w:ascii="sans-serif" w:hAnsi="sans-serif"/>
          <w:b/>
          <w:i/>
          <w:color w:val="000000"/>
          <w:sz w:val="22"/>
        </w:rPr>
        <w:t>Exchange Act</w:t>
      </w:r>
      <w:r>
        <w:rPr>
          <w:rFonts w:ascii="sans-serif" w:hAnsi="sans-serif"/>
          <w:color w:val="000000"/>
          <w:sz w:val="22"/>
        </w:rPr>
        <w:t>”), and the rules thereunder, and Forms 3, 4, and 5 in accordance with Section 16 of the Exchange Act and the rules thereunder, and Notices of Proposed Sale of Securities Pursuant to Rule 144 (“</w:t>
      </w:r>
      <w:r>
        <w:rPr>
          <w:rFonts w:ascii="sans-serif" w:hAnsi="sans-serif"/>
          <w:b/>
          <w:i/>
          <w:color w:val="000000"/>
          <w:sz w:val="22"/>
        </w:rPr>
        <w:t>Form 144”</w:t>
      </w:r>
      <w:r>
        <w:rPr>
          <w:rFonts w:ascii="sans-serif" w:hAnsi="sans-serif"/>
          <w:color w:val="000000"/>
          <w:sz w:val="22"/>
        </w:rPr>
        <w:t>), in accordance with the requirements of Rule 144 under the Securities Act of 1933, as amended (the “</w:t>
      </w:r>
      <w:r>
        <w:rPr>
          <w:rFonts w:ascii="sans-serif" w:hAnsi="sans-serif"/>
          <w:b/>
          <w:i/>
          <w:color w:val="000000"/>
          <w:sz w:val="22"/>
        </w:rPr>
        <w:t>Securities Act</w:t>
      </w:r>
      <w:r>
        <w:rPr>
          <w:rFonts w:ascii="sans-serif" w:hAnsi="sans-serif"/>
          <w:color w:val="000000"/>
          <w:sz w:val="22"/>
        </w:rPr>
        <w:t>”); and</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IN WITNESS WHEREOF, the undersigned has caused this Power of Attorney to be executed as of this 26th day of February, 2026.</w:t>
      </w:r>
    </w:p>
    <w:p>
      <w:pPr>
        <w:pStyle w:val="TextBody"/>
        <w:bidi w:val="0"/>
        <w:jc w:val="both"/>
        <w:rPr/>
      </w:pPr>
      <w:r>
        <w:rPr/>
        <w:t> </w:t>
      </w:r>
    </w:p>
    <w:p>
      <w:pPr>
        <w:pStyle w:val="TextBody"/>
        <w:bidi w:val="0"/>
        <w:jc w:val="both"/>
        <w:rPr/>
      </w:pPr>
      <w:r>
        <w:rPr/>
        <w:t> </w:t>
      </w:r>
    </w:p>
    <w:tbl>
      <w:tblPr>
        <w:tblW w:w="2768" w:type="dxa"/>
        <w:jc w:val="left"/>
        <w:tblInd w:w="0" w:type="dxa"/>
        <w:tblLayout w:type="fixed"/>
        <w:tblCellMar>
          <w:top w:w="28" w:type="dxa"/>
          <w:left w:w="28" w:type="dxa"/>
          <w:bottom w:w="28" w:type="dxa"/>
          <w:right w:w="28" w:type="dxa"/>
        </w:tblCellMar>
      </w:tblPr>
      <w:tblGrid>
        <w:gridCol w:w="161"/>
        <w:gridCol w:w="24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sans-serif" w:hAnsi="sans-serif"/>
                <w:color w:val="000000"/>
                <w:sz w:val="22"/>
              </w:rPr>
            </w:pPr>
            <w:r>
              <w:rPr>
                <w:rFonts w:ascii="sans-serif" w:hAnsi="sans-serif"/>
                <w:color w:val="000000"/>
                <w:sz w:val="22"/>
              </w:rPr>
              <w:t>/s/ Cyrille Jacquemet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 xml:space="preserve">Cyrille Jacquemet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u w:val="single"/>
        </w:rPr>
      </w:pPr>
      <w:r>
        <w:rPr>
          <w:rFonts w:ascii="sans-serif" w:hAnsi="sans-serif"/>
          <w:color w:val="000000"/>
          <w:sz w:val="22"/>
          <w:u w:val="single"/>
        </w:rPr>
        <w:t>Schedule A</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INDIVIDUALS APPOINTED AS ATTORNEY-IN-FACT,</w:t>
      </w:r>
    </w:p>
    <w:p>
      <w:pPr>
        <w:pStyle w:val="TextBody"/>
        <w:bidi w:val="0"/>
        <w:jc w:val="center"/>
        <w:rPr>
          <w:rFonts w:ascii="sans-serif" w:hAnsi="sans-serif"/>
          <w:b/>
          <w:color w:val="000000"/>
          <w:sz w:val="22"/>
        </w:rPr>
      </w:pPr>
      <w:r>
        <w:rPr>
          <w:rFonts w:ascii="sans-serif" w:hAnsi="sans-serif"/>
          <w:b/>
          <w:color w:val="000000"/>
          <w:sz w:val="22"/>
        </w:rPr>
        <w:t>WITH FULL POWER OF SUBSTITUTION AND RESUBSTITUTION</w:t>
      </w:r>
    </w:p>
    <w:p>
      <w:pPr>
        <w:pStyle w:val="TextBody"/>
        <w:bidi w:val="0"/>
        <w:jc w:val="center"/>
        <w:rPr/>
      </w:pPr>
      <w:r>
        <w:rPr/>
        <w:t> </w:t>
      </w:r>
    </w:p>
    <w:p>
      <w:pPr>
        <w:pStyle w:val="TextBody"/>
        <w:bidi w:val="0"/>
        <w:jc w:val="center"/>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Megan Chung, General Counsel and Secretary</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Gayle McKenzie, Deputy General Counsel</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Kenneth P. Gianella, Chief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981"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1187</Words>
  <Characters>6290</Characters>
  <CharactersWithSpaces>7406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